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BF" w:rsidRDefault="00A80C4C">
      <w:pPr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Žádost o zadání individuálního tématu diplomové práce</w:t>
      </w:r>
    </w:p>
    <w:p w:rsidR="008B02BF" w:rsidRDefault="008B02BF">
      <w:p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8B02BF" w:rsidRDefault="00A80C4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Jan Pavel, nar. 24. 12. 2000</w:t>
      </w:r>
    </w:p>
    <w:p w:rsidR="008B02BF" w:rsidRDefault="00A80C4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UKČO: 66266118, e-mail: pavlik.janik@seznam.cz, mobil: + 420 607 849 254</w:t>
      </w:r>
    </w:p>
    <w:p w:rsidR="008B02BF" w:rsidRDefault="008B02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2BF" w:rsidRDefault="00A80C4C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Navrhované individuální téma:</w:t>
      </w:r>
      <w:r>
        <w:rPr>
          <w:rFonts w:ascii="Times New Roman" w:hAnsi="Times New Roman" w:cs="Times New Roman"/>
          <w:bCs/>
          <w:sz w:val="24"/>
          <w:szCs w:val="24"/>
        </w:rPr>
        <w:t xml:space="preserve"> Zásada kontradiktornosti v řízení před soudem</w:t>
      </w:r>
    </w:p>
    <w:p w:rsidR="008B02BF" w:rsidRDefault="008B02BF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2BF" w:rsidRDefault="00A8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Výzkumná </w:t>
      </w:r>
      <w:r>
        <w:rPr>
          <w:rFonts w:ascii="Times New Roman" w:hAnsi="Times New Roman" w:cs="Times New Roman"/>
          <w:b/>
          <w:sz w:val="24"/>
          <w:szCs w:val="24"/>
        </w:rPr>
        <w:t>otázka:</w:t>
      </w:r>
      <w:r>
        <w:rPr>
          <w:rFonts w:ascii="Times New Roman" w:hAnsi="Times New Roman" w:cs="Times New Roman"/>
          <w:sz w:val="24"/>
          <w:szCs w:val="24"/>
        </w:rPr>
        <w:t xml:space="preserve"> Jaké jsou projevy zásady kontradiktornosti v řízení před soudem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lege lata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lege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ferenda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B02BF" w:rsidRDefault="008B0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2BF" w:rsidRDefault="00A80C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Shrnutí záměru diplomové práce:</w:t>
      </w:r>
    </w:p>
    <w:p w:rsidR="008B02BF" w:rsidRDefault="00A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Navrhované téma diplomové práce je věnováno zásadě kontradiktornosti v řízení před soudem. V práci nejprve vysvětlím po</w:t>
      </w:r>
      <w:r>
        <w:rPr>
          <w:rFonts w:ascii="Times New Roman" w:hAnsi="Times New Roman" w:cs="Times New Roman"/>
          <w:sz w:val="24"/>
          <w:szCs w:val="24"/>
        </w:rPr>
        <w:t xml:space="preserve">jem kontradiktornosti, kdy předestřu různá pojetí zásady kontradiktornosti. Chápání kontradiktornosti však není jednotné, neboť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příkladmo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adversárním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anglo</w:t>
      </w:r>
      <w:proofErr w:type="spellEnd"/>
      <w:r>
        <w:rPr>
          <w:rFonts w:ascii="Times New Roman" w:hAnsi="Times New Roman" w:cs="Times New Roman"/>
          <w:sz w:val="24"/>
          <w:szCs w:val="24"/>
        </w:rPr>
        <w:t>-americkém) a inkvizičně-obžalovacím (kontinentálním) modelu trestního procesu se tato zásada, res</w:t>
      </w:r>
      <w:r>
        <w:rPr>
          <w:rFonts w:ascii="Times New Roman" w:hAnsi="Times New Roman" w:cs="Times New Roman"/>
          <w:sz w:val="24"/>
          <w:szCs w:val="24"/>
        </w:rPr>
        <w:t>p. její obsah a dosah odlišují, což je dáno historickými souvislostmi a tradicí. Pojem kontradiktornosti je pak rozvíjen i rozhodovací praxí Ústavního soudu ČR a zejména ESLP, která se stále vyvíjí a je potřeba ji neustále sledovat.</w:t>
      </w:r>
    </w:p>
    <w:p w:rsidR="008B02BF" w:rsidRDefault="008B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Jádrem mé práce bude p</w:t>
      </w:r>
      <w:r>
        <w:rPr>
          <w:rFonts w:ascii="Times New Roman" w:hAnsi="Times New Roman" w:cs="Times New Roman"/>
          <w:sz w:val="24"/>
          <w:szCs w:val="24"/>
        </w:rPr>
        <w:t>odrobné pojednání o kontradiktornosti v řízení před soudem, resp. v hlavním líčení. Zaměřím se zejména na otázku písemného a ústního vyjádření k obžalobě, což jsou instituty, které byly s účinností od 1. 10. 2020 zavedeny novelou trestních předpisů provedo</w:t>
      </w:r>
      <w:r>
        <w:rPr>
          <w:rFonts w:ascii="Times New Roman" w:hAnsi="Times New Roman" w:cs="Times New Roman"/>
          <w:sz w:val="24"/>
          <w:szCs w:val="24"/>
        </w:rPr>
        <w:t>u zákonem č. 333/2020 Sb., a dále na návrh na předběžné pojednání obžaloby. Doba, která již uplynula od účinnosti této novely dovoluje zhodnotit přijaté změny. Zaměřím se také na otázku neodkladných a neopakovatelných úkonů, neboť právě tyto jsou pro zásad</w:t>
      </w:r>
      <w:r>
        <w:rPr>
          <w:rFonts w:ascii="Times New Roman" w:hAnsi="Times New Roman" w:cs="Times New Roman"/>
          <w:sz w:val="24"/>
          <w:szCs w:val="24"/>
        </w:rPr>
        <w:t>u kontradiktornosti stěžejní, přičemž v práci se budu zabývat otázkou použitelnosti protokolů o výslechu svědků, kteří nebyli vyslechnuti v přítomnosti obviněného a jimž neměl obviněný možnost klást otázky. Stávající i navrhovanou právní úpravu budu konfro</w:t>
      </w:r>
      <w:r>
        <w:rPr>
          <w:rFonts w:ascii="Times New Roman" w:hAnsi="Times New Roman" w:cs="Times New Roman"/>
          <w:sz w:val="24"/>
          <w:szCs w:val="24"/>
        </w:rPr>
        <w:t xml:space="preserve">ntovat s požadavky Ústavního soudu ČR a ESLP. </w:t>
      </w:r>
    </w:p>
    <w:p w:rsidR="008B02BF" w:rsidRDefault="008B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Tím, že již byly zveřejněny alespoň dílčí partie připravované rekodifikace, zaměřím se též na kritickou analýzu navrhovaných ustanovení, které se vztahují k této problematice. V práci představím svoje návrhy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lege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ferenda</w:t>
      </w:r>
      <w:proofErr w:type="spellEnd"/>
      <w:r>
        <w:rPr>
          <w:rFonts w:ascii="Times New Roman" w:hAnsi="Times New Roman" w:cs="Times New Roman"/>
          <w:sz w:val="24"/>
          <w:szCs w:val="24"/>
        </w:rPr>
        <w:t>, zejména to, zda by měla být výslovně definována zásada kontradiktornosti a jaké úpravy trestního řádu by bylo potřeba zavést či ponechat, abychom mohli náš trestní řád označit za „</w:t>
      </w:r>
      <w:r>
        <w:rPr>
          <w:rFonts w:ascii="Times New Roman" w:hAnsi="Times New Roman" w:cs="Times New Roman"/>
          <w:i/>
          <w:iCs/>
          <w:sz w:val="24"/>
          <w:szCs w:val="24"/>
        </w:rPr>
        <w:t>respektující zásadu kontradiktornosti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B02BF" w:rsidRDefault="008B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je pos</w:t>
      </w:r>
      <w:r>
        <w:rPr>
          <w:rFonts w:ascii="Times New Roman" w:hAnsi="Times New Roman" w:cs="Times New Roman"/>
          <w:sz w:val="24"/>
          <w:szCs w:val="24"/>
        </w:rPr>
        <w:t>kytnout náhled do možných pojetí této zásady a zejména přehled jednotlivých kontradiktorních projevů a prvků v řízení před soudem. Upozorněno bude také na instituty, které kontradiktornost řízení před soudem oslabují a jaké jsou nastaveny záruky kontradikt</w:t>
      </w:r>
      <w:r>
        <w:rPr>
          <w:rFonts w:ascii="Times New Roman" w:hAnsi="Times New Roman" w:cs="Times New Roman"/>
          <w:sz w:val="24"/>
          <w:szCs w:val="24"/>
        </w:rPr>
        <w:t xml:space="preserve">ornosti. Práce tedy bude odpovídat na výzkumnou otázku: Jaké jsou projevy zásady kontradiktornosti v řízení před soudem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lege lata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de lege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ferenda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B02BF" w:rsidRDefault="008B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Osnova práce byla předem konzultována s navrženým vedoucím a po dohodě s ním i upravena.</w:t>
      </w:r>
    </w:p>
    <w:p w:rsidR="008B02BF" w:rsidRDefault="008B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Plánovaná </w:t>
      </w:r>
      <w:r>
        <w:rPr>
          <w:rFonts w:ascii="Times New Roman" w:hAnsi="Times New Roman" w:cs="Times New Roman"/>
          <w:b/>
          <w:bCs/>
          <w:sz w:val="24"/>
          <w:szCs w:val="24"/>
        </w:rPr>
        <w:t>osnova diplomové práce</w:t>
      </w:r>
    </w:p>
    <w:p w:rsidR="008B02BF" w:rsidRDefault="00A80C4C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Úvod</w:t>
      </w:r>
    </w:p>
    <w:p w:rsidR="008B02BF" w:rsidRDefault="00A80C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Zásada kontradiktornosti v trestním procesu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Různá pojetí zásady kontradiktornosti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Pojetí kontradiktornosti v </w:t>
      </w:r>
      <w:proofErr w:type="spellStart"/>
      <w:r>
        <w:rPr>
          <w:rFonts w:ascii="Times New Roman" w:hAnsi="Times New Roman" w:cs="Times New Roman"/>
          <w:sz w:val="24"/>
          <w:szCs w:val="24"/>
        </w:rPr>
        <w:t>adversárním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inkvizičním trestním modelu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 zásady kontradiktornosti a zásady rovnosti zbraní 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Pojmové vymezení </w:t>
      </w:r>
      <w:r>
        <w:rPr>
          <w:rFonts w:ascii="Times New Roman" w:hAnsi="Times New Roman" w:cs="Times New Roman"/>
          <w:sz w:val="24"/>
          <w:szCs w:val="24"/>
        </w:rPr>
        <w:t>zásady v rozhodovací praxi Ústavního soudu ČR a ESLP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Uplatnění zásady kontradiktornosti v jednotlivých stadiích trestního procesu</w:t>
      </w:r>
    </w:p>
    <w:p w:rsidR="008B02BF" w:rsidRDefault="00A80C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Kontradiktornost v řízení před soudem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Postavení subjektů a stran trestního řízení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Doručení obžaloby a vyjádření k ní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</w:t>
      </w:r>
      <w:r>
        <w:rPr>
          <w:rFonts w:ascii="Times New Roman" w:hAnsi="Times New Roman" w:cs="Times New Roman"/>
          <w:sz w:val="24"/>
          <w:szCs w:val="24"/>
        </w:rPr>
        <w:t>předběžné projednání obžaloby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vyjádření k obžalobě podle § 196 odst. 2, 3 TŘ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k obžalobě podle § </w:t>
      </w:r>
      <w:proofErr w:type="gramStart"/>
      <w:r>
        <w:rPr>
          <w:rFonts w:ascii="Times New Roman" w:hAnsi="Times New Roman" w:cs="Times New Roman"/>
          <w:sz w:val="24"/>
          <w:szCs w:val="24"/>
        </w:rPr>
        <w:t>206a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odst. 1, 2 TŘ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Dokazování v řízení před soudem prvního stupně (v hlavním líčení)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Výslech obžalovaného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Výslech svědka a možnost přečtení pr</w:t>
      </w:r>
      <w:r>
        <w:rPr>
          <w:rFonts w:ascii="Times New Roman" w:hAnsi="Times New Roman" w:cs="Times New Roman"/>
          <w:sz w:val="24"/>
          <w:szCs w:val="24"/>
        </w:rPr>
        <w:t>otokolů z přechozích fází v trestním řízení</w:t>
      </w:r>
    </w:p>
    <w:p w:rsidR="008B02BF" w:rsidRDefault="00A80C4C">
      <w:pPr>
        <w:pStyle w:val="Odstavecseseznamem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na předvolání a kontradiktorní výslech svědka</w:t>
      </w:r>
    </w:p>
    <w:p w:rsidR="008B02BF" w:rsidRDefault="00A80C4C">
      <w:pPr>
        <w:pStyle w:val="Odstavecseseznamem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otázce neodkladných a neopakovatelných úkonů</w:t>
      </w:r>
    </w:p>
    <w:p w:rsidR="008B02BF" w:rsidRDefault="00A80C4C">
      <w:pPr>
        <w:pStyle w:val="Odstavecseseznamem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Použitelnost protokolů o výslechu svědků, kteří nebyli vyslechnuti v přítomnosti obviněného a jimž neměl obviněný</w:t>
      </w:r>
      <w:r>
        <w:rPr>
          <w:rFonts w:ascii="Times New Roman" w:hAnsi="Times New Roman" w:cs="Times New Roman"/>
          <w:sz w:val="24"/>
          <w:szCs w:val="24"/>
        </w:rPr>
        <w:t xml:space="preserve"> možnost klást otázky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dalších důkazů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vyjádření se obžalovaného ke každému provedenému důkazu</w:t>
      </w:r>
    </w:p>
    <w:p w:rsidR="008B02BF" w:rsidRDefault="00A80C4C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Součinnost stran při dokazování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řeči stran a právo posledního slova obžalovaného</w:t>
      </w:r>
    </w:p>
    <w:p w:rsidR="008B02BF" w:rsidRDefault="00A80C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Zásada kontradiktornosti a její úprava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 lege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ferenda</w:t>
      </w:r>
      <w:proofErr w:type="spellEnd"/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Otázka výslovného zakotvení a její formulace</w:t>
      </w:r>
    </w:p>
    <w:p w:rsidR="008B02BF" w:rsidRDefault="00A80C4C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Zásada kontradiktornosti v návrhu nového trestního řádu </w:t>
      </w:r>
    </w:p>
    <w:p w:rsidR="008B02BF" w:rsidRDefault="00A80C4C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:rsidR="008B02BF" w:rsidRDefault="008B02BF">
      <w:pPr>
        <w:pStyle w:val="Odstavecseseznamem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8B02BF" w:rsidRDefault="00A80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literatura: </w:t>
      </w:r>
    </w:p>
    <w:p w:rsidR="008B02BF" w:rsidRDefault="00A80C4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Zahraniční: </w:t>
      </w:r>
    </w:p>
    <w:p w:rsidR="008B02BF" w:rsidRDefault="00A80C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AMBOS, K. International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procedure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adversarial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inquisitorial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mixed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2003, č. 3.</w:t>
      </w:r>
    </w:p>
    <w:p w:rsidR="008B02BF" w:rsidRDefault="00A80C4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AMBOS, K.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Cambridge: Cambridge University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2018.</w:t>
      </w:r>
    </w:p>
    <w:p w:rsidR="008B02BF" w:rsidRDefault="00A80C4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BRANTS, Ch., RINGNALDA, 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Convergence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Inquisitorial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Prosecution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Wales?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Nijmegen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Wolf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Publishers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2011.</w:t>
      </w:r>
    </w:p>
    <w:p w:rsidR="008B02BF" w:rsidRDefault="00A80C4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CORSTENS, G., PRADEL,</w:t>
      </w:r>
      <w:r>
        <w:rPr>
          <w:rFonts w:ascii="Times New Roman" w:hAnsi="Times New Roman" w:cs="Times New Roman"/>
          <w:iCs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Criminal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Kluwer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International, 2002.</w:t>
      </w:r>
    </w:p>
    <w:p w:rsidR="008B02BF" w:rsidRDefault="00A80C4C">
      <w:pPr>
        <w:suppressAutoHyphens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ROBERSON, C., DAS, D.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Introduction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to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Comparative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Legal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Models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Criminal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Justice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Boca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Raton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: CRC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>, 2008.</w:t>
      </w:r>
    </w:p>
    <w:p w:rsidR="008B02BF" w:rsidRDefault="008B02BF">
      <w:pPr>
        <w:suppressAutoHyphens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:rsidR="008B02BF" w:rsidRDefault="008B02BF">
      <w:pPr>
        <w:suppressAutoHyphens w:val="0"/>
        <w:spacing w:after="0" w:line="240" w:lineRule="auto"/>
        <w:rPr>
          <w:rFonts w:ascii="Times New Roman" w:eastAsia="MinionPro-Regular" w:hAnsi="Times New Roman" w:cs="Times New Roman"/>
          <w:sz w:val="17"/>
          <w:szCs w:val="17"/>
        </w:rPr>
      </w:pPr>
    </w:p>
    <w:p w:rsidR="008B02BF" w:rsidRDefault="00A80C4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Česká a slovenská:</w:t>
      </w:r>
    </w:p>
    <w:p w:rsidR="008B02BF" w:rsidRDefault="00A80C4C">
      <w:pPr>
        <w:suppressAutoHyphens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>FENYK, J. Zásada kontradiktorní v trestním řízení anglosaské</w:t>
      </w:r>
      <w:r>
        <w:rPr>
          <w:rFonts w:ascii="Times New Roman" w:eastAsia="MinionPro-Regular" w:hAnsi="Times New Roman" w:cs="Times New Roman"/>
          <w:sz w:val="24"/>
          <w:szCs w:val="24"/>
        </w:rPr>
        <w:t>ho a kontinentálního typu. In: FENYK, J. (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.) Pocta Dagmar Císařové k 75. narozeninám. Praha: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LexisNexis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 xml:space="preserve"> CZ, 2007.</w:t>
      </w:r>
    </w:p>
    <w:p w:rsidR="008B02BF" w:rsidRDefault="00A8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GALOVCOVÁ, I.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Uplatnenie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zásady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kontradiktórnosti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pri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dokazovaní 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trestnom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 konaní. In: Jelínek, J. 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Dokazování v trestním řízení v kontextu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práva na spravedlivý proces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 xml:space="preserve">. Praha: Nakladatelství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Leges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, 2018.</w:t>
      </w:r>
    </w:p>
    <w:p w:rsidR="008B02BF" w:rsidRDefault="00A8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KMEC, Jiří. Princip kontradiktornosti jako jeden z aspektů práva na spravedlivý proces. In: </w:t>
      </w:r>
      <w:r>
        <w:rPr>
          <w:rFonts w:ascii="Times New Roman" w:hAnsi="Times New Roman" w:cs="Times New Roman"/>
          <w:i/>
          <w:iCs/>
          <w:sz w:val="24"/>
          <w:szCs w:val="24"/>
        </w:rPr>
        <w:t>Rekodifikace trestního práva procesního – aktuální problémy</w:t>
      </w:r>
      <w:r>
        <w:rPr>
          <w:rFonts w:ascii="Times New Roman" w:hAnsi="Times New Roman" w:cs="Times New Roman"/>
          <w:sz w:val="24"/>
          <w:szCs w:val="24"/>
        </w:rPr>
        <w:t>. Praha: PF UK, 2008.</w:t>
      </w:r>
    </w:p>
    <w:p w:rsidR="008B02BF" w:rsidRDefault="00A80C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MULÁK, J. Zásada 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ntradiktornosti v trestním řízení – evropské souvislosti a česká reflexe.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Bulletin advokacie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2019, č. 3.</w:t>
      </w:r>
    </w:p>
    <w:p w:rsidR="008B02BF" w:rsidRDefault="00A8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MULÁK, J., PROVAZNÍK, J. Dopady novely trestního řádu provedené zákonem č. 333/2020 Sb. na základní zásady trestního řízení. </w:t>
      </w:r>
      <w:r>
        <w:rPr>
          <w:rFonts w:ascii="Times New Roman" w:hAnsi="Times New Roman" w:cs="Times New Roman"/>
          <w:i/>
          <w:iCs/>
          <w:sz w:val="24"/>
          <w:szCs w:val="24"/>
        </w:rPr>
        <w:t>Bulletin advokacie</w:t>
      </w:r>
      <w:r>
        <w:rPr>
          <w:rFonts w:ascii="Times New Roman" w:hAnsi="Times New Roman" w:cs="Times New Roman"/>
          <w:sz w:val="24"/>
          <w:szCs w:val="24"/>
        </w:rPr>
        <w:t>, 2021,</w:t>
      </w:r>
      <w:r>
        <w:rPr>
          <w:rFonts w:ascii="Times New Roman" w:hAnsi="Times New Roman" w:cs="Times New Roman"/>
          <w:sz w:val="24"/>
          <w:szCs w:val="24"/>
        </w:rPr>
        <w:t xml:space="preserve"> č. 11.</w:t>
      </w:r>
    </w:p>
    <w:p w:rsidR="008B02BF" w:rsidRDefault="00A80C4C">
      <w:pPr>
        <w:suppressAutoHyphens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OLEJ, J., KOLCUNOVÁ, M., KOLCUN, J.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Kontradiktornosť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v </w:t>
      </w:r>
      <w:proofErr w:type="spellStart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trestnom</w:t>
      </w:r>
      <w:proofErr w:type="spellEnd"/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 xml:space="preserve"> konaní</w:t>
      </w:r>
      <w:r>
        <w:rPr>
          <w:rFonts w:ascii="Times New Roman" w:eastAsia="MinionPro-Regular" w:hAnsi="Times New Roman" w:cs="Times New Roman"/>
          <w:sz w:val="24"/>
          <w:szCs w:val="24"/>
        </w:rPr>
        <w:t>. Bratislava: C. H. Beck, 2014.</w:t>
      </w:r>
    </w:p>
    <w:p w:rsidR="008B02BF" w:rsidRDefault="008B02BF">
      <w:pPr>
        <w:suppressAutoHyphens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:rsidR="008B02BF" w:rsidRDefault="00A80C4C">
      <w:pPr>
        <w:suppressAutoHyphens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PELC, Vladimír. </w:t>
      </w:r>
      <w:proofErr w:type="gramStart"/>
      <w:r>
        <w:rPr>
          <w:rFonts w:ascii="Times New Roman" w:eastAsia="MinionPro-Regular" w:hAnsi="Times New Roman" w:cs="Times New Roman"/>
          <w:sz w:val="24"/>
          <w:szCs w:val="24"/>
        </w:rPr>
        <w:t>Kontradiktornost - realita</w:t>
      </w:r>
      <w:proofErr w:type="gramEnd"/>
      <w:r>
        <w:rPr>
          <w:rFonts w:ascii="Times New Roman" w:eastAsia="MinionPro-Regular" w:hAnsi="Times New Roman" w:cs="Times New Roman"/>
          <w:sz w:val="24"/>
          <w:szCs w:val="24"/>
        </w:rPr>
        <w:t xml:space="preserve"> nebo chiméra českého trestního procesu? In: JELÍNEK, J. a kol. </w:t>
      </w: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Ochrana základních práv a svobod v tres</w:t>
      </w: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tním řízení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Praha: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>, 2020.</w:t>
      </w:r>
    </w:p>
    <w:p w:rsidR="008B02BF" w:rsidRDefault="00A80C4C">
      <w:pPr>
        <w:suppressAutoHyphens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ŘÍHA, J. Vybrané aspekty použitelnosti protokolů o dřívějších svědeckých výpovědích v hlavním líčení s ohledem na judikaturu ESLP. In: JELÍNEK, Jiří a kol. </w:t>
      </w: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Dokazování v trestním řízení v kontextu práva na spravedlivý proces</w:t>
      </w:r>
      <w:r>
        <w:rPr>
          <w:rFonts w:ascii="Times New Roman" w:eastAsia="MinionPro-Regular" w:hAnsi="Times New Roman" w:cs="Times New Roman"/>
          <w:sz w:val="24"/>
          <w:szCs w:val="24"/>
        </w:rPr>
        <w:t xml:space="preserve">. Praha: </w:t>
      </w:r>
      <w:proofErr w:type="spellStart"/>
      <w:r>
        <w:rPr>
          <w:rFonts w:ascii="Times New Roman" w:eastAsia="MinionPro-Regular" w:hAnsi="Times New Roman" w:cs="Times New Roman"/>
          <w:sz w:val="24"/>
          <w:szCs w:val="24"/>
        </w:rPr>
        <w:t>Leges</w:t>
      </w:r>
      <w:proofErr w:type="spellEnd"/>
      <w:r>
        <w:rPr>
          <w:rFonts w:ascii="Times New Roman" w:eastAsia="MinionPro-Regular" w:hAnsi="Times New Roman" w:cs="Times New Roman"/>
          <w:sz w:val="24"/>
          <w:szCs w:val="24"/>
        </w:rPr>
        <w:t>, 2018.</w:t>
      </w:r>
    </w:p>
    <w:p w:rsidR="008B02BF" w:rsidRDefault="00A80C4C">
      <w:pPr>
        <w:suppressAutoHyphens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>
        <w:rPr>
          <w:rFonts w:ascii="Times New Roman" w:eastAsia="MinionPro-Regular" w:hAnsi="Times New Roman" w:cs="Times New Roman"/>
          <w:sz w:val="24"/>
          <w:szCs w:val="24"/>
        </w:rPr>
        <w:t xml:space="preserve">ŠÁMAL, P. </w:t>
      </w:r>
      <w:r>
        <w:rPr>
          <w:rFonts w:ascii="Times New Roman" w:eastAsia="MinionPro-Regular" w:hAnsi="Times New Roman" w:cs="Times New Roman"/>
          <w:i/>
          <w:iCs/>
          <w:sz w:val="24"/>
          <w:szCs w:val="24"/>
        </w:rPr>
        <w:t>Základní zásady trestního řízení v demokratickém systému</w:t>
      </w:r>
      <w:r>
        <w:rPr>
          <w:rFonts w:ascii="Times New Roman" w:eastAsia="MinionPro-Regular" w:hAnsi="Times New Roman" w:cs="Times New Roman"/>
          <w:sz w:val="24"/>
          <w:szCs w:val="24"/>
        </w:rPr>
        <w:t>. Praha: ASPI, 1999.</w:t>
      </w:r>
    </w:p>
    <w:p w:rsidR="008B02BF" w:rsidRDefault="008B02BF">
      <w:pPr>
        <w:suppressAutoHyphens w:val="0"/>
        <w:spacing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:rsidR="008B02BF" w:rsidRDefault="008B02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B02BF" w:rsidRDefault="00A80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8B02BF" w:rsidRDefault="00A8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Navrhovaný vedoucí diplomové práce: </w:t>
      </w:r>
      <w:r>
        <w:rPr>
          <w:rFonts w:ascii="Times New Roman" w:hAnsi="Times New Roman" w:cs="Times New Roman"/>
          <w:sz w:val="24"/>
          <w:szCs w:val="24"/>
        </w:rPr>
        <w:t xml:space="preserve">JUDr.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Mulák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navrhovaného vedoucího diplomové práce: </w:t>
      </w:r>
    </w:p>
    <w:p w:rsidR="008B02BF" w:rsidRDefault="00A8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navrhovaným tématem diplomové práce souhlasím stejně jako s tím, abych ji v případě schválení žádosti vedoucím katedry vedl.</w:t>
      </w: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Praze, dne ___________</w:t>
      </w: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……….………………….............</w:t>
      </w:r>
    </w:p>
    <w:p w:rsidR="008B02BF" w:rsidRDefault="00A80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JUDr.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Mulák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8B02BF" w:rsidRDefault="008B02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vedoucího katedry:</w:t>
      </w:r>
    </w:p>
    <w:p w:rsidR="008B02BF" w:rsidRDefault="00A80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Schvaluji/Neschvaluji navrhované individuální téma diplomové práce a určuji vedoucím diplomové práce navrhovaného vedoucího.</w:t>
      </w:r>
    </w:p>
    <w:p w:rsidR="008B02BF" w:rsidRDefault="00A80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Komentář/Důvod případného nesouhlasného stanoviska: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rPr>
          <w:rFonts w:ascii="Times New Roman" w:hAnsi="Times New Roman" w:cs="Times New Roman"/>
          <w:sz w:val="24"/>
          <w:szCs w:val="24"/>
        </w:rPr>
      </w:pPr>
      <w:bookmarkStart w:id="1" w:name="_Hlk100301724"/>
      <w:r>
        <w:rPr>
          <w:rFonts w:ascii="Times New Roman" w:hAnsi="Times New Roman" w:cs="Times New Roman"/>
          <w:sz w:val="24"/>
          <w:szCs w:val="24"/>
        </w:rPr>
        <w:t>V Praze, dne ___________</w:t>
      </w:r>
      <w:bookmarkEnd w:id="1"/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A80C4C">
      <w:pPr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8B02BF" w:rsidRDefault="00A80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8B02BF" w:rsidRDefault="008B02BF">
      <w:pPr>
        <w:rPr>
          <w:rFonts w:ascii="Times New Roman" w:hAnsi="Times New Roman" w:cs="Times New Roman"/>
          <w:sz w:val="24"/>
          <w:szCs w:val="24"/>
        </w:rPr>
      </w:pPr>
    </w:p>
    <w:p w:rsidR="008B02BF" w:rsidRDefault="008B02BF">
      <w:pPr>
        <w:tabs>
          <w:tab w:val="left" w:pos="1543"/>
        </w:tabs>
        <w:rPr>
          <w:rFonts w:ascii="Times New Roman" w:hAnsi="Times New Roman" w:cs="Times New Roman"/>
        </w:rPr>
      </w:pPr>
    </w:p>
    <w:p w:rsidR="008B02BF" w:rsidRDefault="008B02BF">
      <w:pPr>
        <w:rPr>
          <w:rFonts w:ascii="Times New Roman" w:hAnsi="Times New Roman" w:cs="Times New Roman"/>
        </w:rPr>
      </w:pPr>
    </w:p>
    <w:sectPr w:rsidR="008B0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701" w:left="1418" w:header="850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0C4C">
      <w:pPr>
        <w:spacing w:after="0" w:line="240" w:lineRule="auto"/>
      </w:pPr>
      <w:r>
        <w:separator/>
      </w:r>
    </w:p>
  </w:endnote>
  <w:endnote w:type="continuationSeparator" w:id="0">
    <w:p w:rsidR="00000000" w:rsidRDefault="00A8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BF" w:rsidRDefault="008B0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BF" w:rsidRDefault="008B0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BF" w:rsidRDefault="00A80C4C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noProof/>
      </w:rPr>
      <mc:AlternateContent>
        <mc:Choice Requires="wps">
          <w:drawing>
            <wp:anchor distT="3810" distB="3810" distL="635" distR="0" simplePos="0" relativeHeight="2" behindDoc="1" locked="0" layoutInCell="0" allowOverlap="1" wp14:anchorId="21633E42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85" cy="0"/>
              <wp:effectExtent l="635" t="3810" r="0" b="3810"/>
              <wp:wrapNone/>
              <wp:docPr id="3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35pt" to="453.5pt,11.35pt" ID="Přímá spojnice 10" stroked="t" o:allowincell="f" style="position:absolute" wp14:anchorId="21633E42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Gill Sans MT" w:hAnsi="Gill Sans MT"/>
        <w:sz w:val="16"/>
      </w:rPr>
      <w:t>Univerzita Karlova, Právnická fakulta</w:t>
    </w:r>
    <w:r>
      <w:rPr>
        <w:rFonts w:ascii="Gill Sans MT" w:hAnsi="Gill Sans MT"/>
        <w:sz w:val="16"/>
      </w:rPr>
      <w:tab/>
      <w:t>telefon: 221 005 575</w:t>
    </w:r>
  </w:p>
  <w:p w:rsidR="008B02BF" w:rsidRDefault="00A80C4C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Katedra</w:t>
    </w:r>
    <w:r>
      <w:t xml:space="preserve"> </w:t>
    </w:r>
    <w:r>
      <w:rPr>
        <w:rFonts w:ascii="Gill Sans MT" w:hAnsi="Gill Sans MT"/>
        <w:color w:val="000000" w:themeColor="text1"/>
        <w:sz w:val="16"/>
        <w:szCs w:val="16"/>
      </w:rPr>
      <w:t>trestního práva</w:t>
    </w:r>
    <w:r>
      <w:rPr>
        <w:rFonts w:ascii="Gill Sans MT" w:hAnsi="Gill Sans MT"/>
        <w:sz w:val="16"/>
      </w:rPr>
      <w:tab/>
      <w:t>e-mail: barova@prf.cuni.cz</w:t>
    </w:r>
  </w:p>
  <w:p w:rsidR="008B02BF" w:rsidRDefault="00A80C4C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 xml:space="preserve">nám. </w:t>
    </w:r>
    <w:r>
      <w:rPr>
        <w:rFonts w:ascii="Gill Sans MT" w:hAnsi="Gill Sans MT"/>
        <w:sz w:val="16"/>
      </w:rPr>
      <w:t>Curieových 901/7</w:t>
    </w:r>
    <w:r>
      <w:rPr>
        <w:rFonts w:ascii="Gill Sans MT" w:hAnsi="Gill Sans MT"/>
        <w:sz w:val="16"/>
      </w:rPr>
      <w:tab/>
      <w:t>datová schránka: piyj9b4</w:t>
    </w:r>
  </w:p>
  <w:p w:rsidR="008B02BF" w:rsidRDefault="00A80C4C">
    <w:pPr>
      <w:pStyle w:val="Zpat"/>
      <w:tabs>
        <w:tab w:val="clear" w:pos="4536"/>
        <w:tab w:val="clear" w:pos="9072"/>
        <w:tab w:val="left" w:pos="6521"/>
      </w:tabs>
    </w:pPr>
    <w:r>
      <w:rPr>
        <w:rFonts w:ascii="Gill Sans MT" w:hAnsi="Gill Sans MT"/>
        <w:sz w:val="16"/>
      </w:rPr>
      <w:t>116 40 Praha 1</w:t>
    </w:r>
    <w:r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0C4C">
      <w:pPr>
        <w:spacing w:after="0" w:line="240" w:lineRule="auto"/>
      </w:pPr>
      <w:r>
        <w:separator/>
      </w:r>
    </w:p>
  </w:footnote>
  <w:footnote w:type="continuationSeparator" w:id="0">
    <w:p w:rsidR="00000000" w:rsidRDefault="00A8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BF" w:rsidRDefault="008B02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BF" w:rsidRDefault="008B02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W w:w="90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4"/>
      <w:gridCol w:w="3352"/>
      <w:gridCol w:w="23"/>
    </w:tblGrid>
    <w:tr w:rsidR="008B02BF">
      <w:tc>
        <w:tcPr>
          <w:tcW w:w="57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B02BF" w:rsidRDefault="00A80C4C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2595880" cy="1209675"/>
                <wp:effectExtent l="0" t="0" r="0" b="0"/>
                <wp:docPr id="1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588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B02BF" w:rsidRDefault="008B02BF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</w:tr>
    <w:tr w:rsidR="008B02BF">
      <w:trPr>
        <w:trHeight w:val="283"/>
      </w:trPr>
      <w:tc>
        <w:tcPr>
          <w:tcW w:w="1596" w:type="dxa"/>
          <w:tcBorders>
            <w:top w:val="nil"/>
            <w:left w:val="nil"/>
            <w:bottom w:val="nil"/>
            <w:right w:val="nil"/>
          </w:tcBorders>
        </w:tcPr>
        <w:p w:rsidR="008B02BF" w:rsidRDefault="008B02BF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B02BF" w:rsidRDefault="008B02BF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8B02BF" w:rsidRDefault="008B02BF">
          <w:pPr>
            <w:widowControl w:val="0"/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8B02BF">
      <w:trPr>
        <w:trHeight w:val="510"/>
      </w:trPr>
      <w:tc>
        <w:tcPr>
          <w:tcW w:w="1596" w:type="dxa"/>
          <w:tcBorders>
            <w:top w:val="nil"/>
            <w:left w:val="nil"/>
            <w:right w:val="nil"/>
          </w:tcBorders>
          <w:vAlign w:val="center"/>
        </w:tcPr>
        <w:p w:rsidR="008B02BF" w:rsidRDefault="008B02BF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right w:val="nil"/>
          </w:tcBorders>
          <w:tcMar>
            <w:top w:w="57" w:type="dxa"/>
          </w:tcMar>
        </w:tcPr>
        <w:p w:rsidR="008B02BF" w:rsidRDefault="00A80C4C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4673600" cy="177800"/>
                <wp:effectExtent l="0" t="0" r="0" b="0"/>
                <wp:docPr id="2" name="Obráze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8B02BF" w:rsidRDefault="008B02BF">
          <w:pPr>
            <w:widowControl w:val="0"/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8B02BF">
      <w:trPr>
        <w:trHeight w:val="397"/>
      </w:trPr>
      <w:tc>
        <w:tcPr>
          <w:tcW w:w="1596" w:type="dxa"/>
          <w:tcBorders>
            <w:left w:val="nil"/>
            <w:bottom w:val="nil"/>
            <w:right w:val="nil"/>
          </w:tcBorders>
          <w:vAlign w:val="center"/>
        </w:tcPr>
        <w:p w:rsidR="008B02BF" w:rsidRDefault="008B02BF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8B02BF" w:rsidRDefault="008B02BF">
          <w:pPr>
            <w:pStyle w:val="Zhlav"/>
            <w:widowControl w:val="0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8B02BF" w:rsidRDefault="008B02BF">
          <w:pPr>
            <w:widowControl w:val="0"/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</w:tbl>
  <w:p w:rsidR="008B02BF" w:rsidRDefault="008B02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7E5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55DB731A"/>
    <w:multiLevelType w:val="multilevel"/>
    <w:tmpl w:val="167606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BF"/>
    <w:rsid w:val="008B02BF"/>
    <w:rsid w:val="00A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BADFB-A53E-4F19-BACE-8EC25F48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EA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E1EA9"/>
  </w:style>
  <w:style w:type="character" w:customStyle="1" w:styleId="ZpatChar">
    <w:name w:val="Zápatí Char"/>
    <w:basedOn w:val="Standardnpsmoodstavce"/>
    <w:link w:val="Zpat"/>
    <w:uiPriority w:val="99"/>
    <w:qFormat/>
    <w:rsid w:val="003E1EA9"/>
  </w:style>
  <w:style w:type="character" w:styleId="Hypertextovodkaz">
    <w:name w:val="Hyperlink"/>
    <w:basedOn w:val="Standardnpsmoodstavce"/>
    <w:uiPriority w:val="99"/>
    <w:unhideWhenUsed/>
    <w:rsid w:val="007976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976E7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  <w:lang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E1EA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E1EA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1EA9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unhideWhenUsed/>
    <w:rsid w:val="003E1EA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Drapal</dc:creator>
  <dc:description/>
  <cp:lastModifiedBy>Martina Barova</cp:lastModifiedBy>
  <cp:revision>2</cp:revision>
  <dcterms:created xsi:type="dcterms:W3CDTF">2022-06-21T07:49:00Z</dcterms:created>
  <dcterms:modified xsi:type="dcterms:W3CDTF">2022-06-21T07:49:00Z</dcterms:modified>
  <dc:language>cs-CZ</dc:language>
</cp:coreProperties>
</file>